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917559" w:rsidP="00FB7CAA">
      <w:pPr>
        <w:jc w:val="right"/>
        <w:rPr>
          <w:sz w:val="24"/>
          <w:szCs w:val="24"/>
        </w:rPr>
      </w:pPr>
    </w:p>
    <w:p w:rsidR="00545DAA" w:rsidRDefault="00917559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917559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917559" w:rsidP="00F666E1">
      <w:pPr>
        <w:tabs>
          <w:tab w:val="left" w:pos="3393"/>
        </w:tabs>
        <w:jc w:val="center"/>
        <w:rPr>
          <w:szCs w:val="28"/>
        </w:rPr>
      </w:pPr>
    </w:p>
    <w:p w:rsidR="008F7522" w:rsidRDefault="00451247" w:rsidP="008F7522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="008F7522">
        <w:rPr>
          <w:noProof/>
          <w:szCs w:val="28"/>
        </w:rPr>
        <w:t>рентгеноконтрастных средств</w:t>
      </w:r>
      <w:r>
        <w:t xml:space="preserve"> для</w:t>
      </w:r>
      <w:r w:rsidR="008F7522">
        <w:t xml:space="preserve"> проведения КТ-исследований</w:t>
      </w:r>
      <w:r w:rsidR="00FB7CAA">
        <w:t xml:space="preserve"> </w:t>
      </w:r>
      <w:r w:rsidR="008F7522">
        <w:t xml:space="preserve">проводимых в </w:t>
      </w:r>
      <w:r w:rsidR="00FB7CAA">
        <w:t>Медсанчасти-36</w:t>
      </w:r>
      <w:r>
        <w:t xml:space="preserve"> </w:t>
      </w:r>
      <w:r w:rsidR="008F7522">
        <w:t>на 2019</w:t>
      </w:r>
      <w:r w:rsidR="0072162C">
        <w:t xml:space="preserve"> </w:t>
      </w:r>
      <w:r>
        <w:t>год.</w:t>
      </w:r>
      <w:r w:rsidR="008F7522">
        <w:t xml:space="preserve"> Лот №32</w:t>
      </w:r>
      <w:r w:rsidR="008F7522">
        <w:rPr>
          <w:szCs w:val="28"/>
        </w:rPr>
        <w:t>:</w:t>
      </w:r>
    </w:p>
    <w:p w:rsidR="008F7522" w:rsidRDefault="008F7522" w:rsidP="008F7522">
      <w:pPr>
        <w:rPr>
          <w:szCs w:val="28"/>
        </w:rPr>
      </w:pPr>
    </w:p>
    <w:p w:rsidR="008F7522" w:rsidRDefault="008F7522" w:rsidP="008F7522">
      <w:pPr>
        <w:rPr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"/>
        <w:gridCol w:w="2630"/>
        <w:gridCol w:w="2410"/>
        <w:gridCol w:w="2794"/>
        <w:gridCol w:w="1027"/>
      </w:tblGrid>
      <w:tr w:rsidR="008F7522" w:rsidTr="000D67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2" w:rsidRDefault="008F7522" w:rsidP="000D677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2" w:rsidRDefault="008F7522" w:rsidP="000D677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2" w:rsidRDefault="008F7522" w:rsidP="000D677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Торговые наименования (или эквивалент)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2" w:rsidRDefault="008F7522" w:rsidP="000D677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выпуска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2" w:rsidRDefault="008F7522" w:rsidP="000D677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заявка</w:t>
            </w:r>
          </w:p>
        </w:tc>
      </w:tr>
      <w:tr w:rsidR="008F7522" w:rsidTr="000D67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2" w:rsidRPr="00E2622F" w:rsidRDefault="008F7522" w:rsidP="000D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2" w:rsidRPr="00E2622F" w:rsidRDefault="008F7522" w:rsidP="000D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993"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2" w:rsidRPr="00E2622F" w:rsidRDefault="008F7522" w:rsidP="000D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993">
              <w:rPr>
                <w:rFonts w:ascii="Times New Roman" w:hAnsi="Times New Roman" w:cs="Times New Roman"/>
                <w:sz w:val="24"/>
                <w:szCs w:val="24"/>
              </w:rPr>
              <w:t>Омнипак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2" w:rsidRPr="00E2622F" w:rsidRDefault="008F7522" w:rsidP="000D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3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300 мг йода/мл; флакон (флакончик) полипропиленовый 100 мл, пачка картонная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2" w:rsidRPr="00E2622F" w:rsidRDefault="008F7522" w:rsidP="000D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522" w:rsidTr="000D67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2" w:rsidRPr="00E2622F" w:rsidRDefault="008F7522" w:rsidP="000D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2" w:rsidRPr="00E2622F" w:rsidRDefault="008F7522" w:rsidP="000D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993"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2" w:rsidRPr="00E2622F" w:rsidRDefault="008F7522" w:rsidP="000D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993">
              <w:rPr>
                <w:rFonts w:ascii="Times New Roman" w:hAnsi="Times New Roman" w:cs="Times New Roman"/>
                <w:sz w:val="24"/>
                <w:szCs w:val="24"/>
              </w:rPr>
              <w:t>Омнипак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2" w:rsidRPr="00E2622F" w:rsidRDefault="008F7522" w:rsidP="000D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3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350 мг йода/мл; флакон (флакончик) стеклянный 50 мл, пачка картонная 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2" w:rsidRPr="00E2622F" w:rsidRDefault="008F7522" w:rsidP="000D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330F" w:rsidRPr="00654C86" w:rsidRDefault="00AC330F" w:rsidP="008F7522">
      <w:pPr>
        <w:rPr>
          <w:sz w:val="24"/>
          <w:szCs w:val="24"/>
        </w:rPr>
      </w:pPr>
    </w:p>
    <w:p w:rsidR="002C3959" w:rsidRPr="00852635" w:rsidRDefault="002C3959" w:rsidP="00AC330F">
      <w:pPr>
        <w:rPr>
          <w:sz w:val="24"/>
          <w:szCs w:val="24"/>
        </w:rPr>
      </w:pPr>
    </w:p>
    <w:p w:rsidR="00450040" w:rsidRPr="00852635" w:rsidRDefault="00450040" w:rsidP="002C3959">
      <w:pPr>
        <w:rPr>
          <w:sz w:val="24"/>
          <w:szCs w:val="24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  <w:r w:rsidR="002C3959">
        <w:rPr>
          <w:b/>
          <w:szCs w:val="28"/>
        </w:rPr>
        <w:t>: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917559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lastRenderedPageBreak/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  <w:bookmarkStart w:id="0" w:name="_GoBack"/>
      <w:bookmarkEnd w:id="0"/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917559">
        <w:rPr>
          <w:noProof/>
          <w:szCs w:val="28"/>
        </w:rPr>
        <w:t>с 13</w:t>
      </w:r>
      <w:r w:rsidR="008F7522">
        <w:rPr>
          <w:noProof/>
          <w:szCs w:val="28"/>
        </w:rPr>
        <w:t>.06</w:t>
      </w:r>
      <w:r w:rsidR="00657D17">
        <w:rPr>
          <w:noProof/>
          <w:szCs w:val="28"/>
        </w:rPr>
        <w:t>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917559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917559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E565BF" w:rsidRPr="0038035F" w:rsidRDefault="00E565BF" w:rsidP="00E565BF">
      <w:pPr>
        <w:rPr>
          <w:szCs w:val="28"/>
        </w:rPr>
      </w:pPr>
      <w:r w:rsidRPr="0038035F">
        <w:rPr>
          <w:szCs w:val="28"/>
        </w:rPr>
        <w:t>Заказчик оставляет за собой право изменить общий объем услуг в пределах согласованного Опциона</w:t>
      </w:r>
      <w:r>
        <w:rPr>
          <w:szCs w:val="28"/>
        </w:rPr>
        <w:t>.</w:t>
      </w:r>
    </w:p>
    <w:p w:rsidR="00E565BF" w:rsidRPr="0038035F" w:rsidRDefault="00E565BF" w:rsidP="00E565BF">
      <w:pPr>
        <w:ind w:right="22"/>
        <w:rPr>
          <w:szCs w:val="28"/>
        </w:rPr>
      </w:pPr>
    </w:p>
    <w:p w:rsidR="00A116DE" w:rsidRPr="00451247" w:rsidRDefault="00917559" w:rsidP="00F666E1"/>
    <w:p w:rsidR="005744A0" w:rsidRPr="005744A0" w:rsidRDefault="00917559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047989"/>
    <w:rsid w:val="00080F44"/>
    <w:rsid w:val="001F4035"/>
    <w:rsid w:val="002C3959"/>
    <w:rsid w:val="0041507C"/>
    <w:rsid w:val="00450040"/>
    <w:rsid w:val="00451247"/>
    <w:rsid w:val="00657D17"/>
    <w:rsid w:val="0067430B"/>
    <w:rsid w:val="006B1672"/>
    <w:rsid w:val="00713180"/>
    <w:rsid w:val="0072162C"/>
    <w:rsid w:val="007269FE"/>
    <w:rsid w:val="007A5E9D"/>
    <w:rsid w:val="008F7522"/>
    <w:rsid w:val="00912188"/>
    <w:rsid w:val="00917559"/>
    <w:rsid w:val="009B74EA"/>
    <w:rsid w:val="00AC330F"/>
    <w:rsid w:val="00AD7ABB"/>
    <w:rsid w:val="00B76C68"/>
    <w:rsid w:val="00BE4AEA"/>
    <w:rsid w:val="00C712C3"/>
    <w:rsid w:val="00CB392F"/>
    <w:rsid w:val="00CC5461"/>
    <w:rsid w:val="00D43C3A"/>
    <w:rsid w:val="00E565BF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96DD-9B05-4296-BD73-21EBAF2C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22</cp:revision>
  <cp:lastPrinted>2018-10-23T08:20:00Z</cp:lastPrinted>
  <dcterms:created xsi:type="dcterms:W3CDTF">2018-10-23T01:07:00Z</dcterms:created>
  <dcterms:modified xsi:type="dcterms:W3CDTF">2019-05-24T04:16:00Z</dcterms:modified>
</cp:coreProperties>
</file>