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476"/>
        <w:gridCol w:w="1107"/>
        <w:gridCol w:w="923"/>
        <w:gridCol w:w="50"/>
        <w:gridCol w:w="1700"/>
        <w:gridCol w:w="982"/>
        <w:gridCol w:w="944"/>
        <w:gridCol w:w="1401"/>
        <w:gridCol w:w="50"/>
        <w:gridCol w:w="50"/>
      </w:tblGrid>
      <w:tr w:rsidR="00820D7B" w:rsidRPr="001B4FAD" w:rsidTr="00837A60">
        <w:trPr>
          <w:hidden/>
        </w:trPr>
        <w:tc>
          <w:tcPr>
            <w:tcW w:w="635" w:type="dxa"/>
            <w:vAlign w:val="center"/>
            <w:hideMark/>
          </w:tcPr>
          <w:p w:rsidR="00820D7B" w:rsidRPr="001B4FAD" w:rsidRDefault="00820D7B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Align w:val="center"/>
            <w:hideMark/>
          </w:tcPr>
          <w:p w:rsidR="00820D7B" w:rsidRPr="001B4FAD" w:rsidRDefault="00820D7B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Align w:val="center"/>
            <w:hideMark/>
          </w:tcPr>
          <w:p w:rsidR="00820D7B" w:rsidRPr="001B4FAD" w:rsidRDefault="00820D7B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820D7B" w:rsidRPr="001B4FAD" w:rsidRDefault="00820D7B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20D7B" w:rsidRPr="001B4FAD" w:rsidRDefault="00820D7B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Align w:val="center"/>
            <w:hideMark/>
          </w:tcPr>
          <w:p w:rsidR="00820D7B" w:rsidRPr="001B4FAD" w:rsidRDefault="00820D7B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Align w:val="center"/>
            <w:hideMark/>
          </w:tcPr>
          <w:p w:rsidR="00820D7B" w:rsidRPr="001B4FAD" w:rsidRDefault="00820D7B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820D7B" w:rsidRPr="001B4FAD" w:rsidRDefault="00820D7B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Align w:val="center"/>
            <w:hideMark/>
          </w:tcPr>
          <w:p w:rsidR="00820D7B" w:rsidRPr="001B4FAD" w:rsidRDefault="00820D7B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20D7B" w:rsidRPr="001B4FAD" w:rsidRDefault="00820D7B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20D7B" w:rsidRPr="001B4FAD" w:rsidRDefault="00820D7B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10E9" w:rsidRPr="001B4FAD" w:rsidTr="00837A60">
        <w:trPr>
          <w:hidden/>
        </w:trPr>
        <w:tc>
          <w:tcPr>
            <w:tcW w:w="635" w:type="dxa"/>
            <w:vAlign w:val="center"/>
          </w:tcPr>
          <w:p w:rsidR="00F310E9" w:rsidRDefault="00F310E9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p w:rsidR="00F310E9" w:rsidRPr="001B4FAD" w:rsidRDefault="00F310E9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F310E9" w:rsidRPr="001B4FAD" w:rsidRDefault="00F310E9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F310E9" w:rsidRPr="001B4FAD" w:rsidRDefault="00F310E9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F310E9" w:rsidRPr="001B4FAD" w:rsidRDefault="00F310E9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F310E9" w:rsidRPr="001B4FAD" w:rsidRDefault="00F310E9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F310E9" w:rsidRPr="001B4FAD" w:rsidRDefault="00F310E9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F310E9" w:rsidRPr="001B4FAD" w:rsidRDefault="00F310E9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F310E9" w:rsidRPr="001B4FAD" w:rsidRDefault="00F310E9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F310E9" w:rsidRPr="001B4FAD" w:rsidRDefault="00F310E9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F310E9" w:rsidRPr="001B4FAD" w:rsidRDefault="00F310E9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F310E9" w:rsidRPr="001B4FAD" w:rsidRDefault="00F310E9" w:rsidP="001B4F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837A60" w:rsidRPr="00837A60" w:rsidRDefault="00837A60" w:rsidP="00837A60">
      <w:pPr>
        <w:keepNext/>
        <w:keepLines/>
        <w:widowControl w:val="0"/>
        <w:tabs>
          <w:tab w:val="left" w:pos="40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ЗАДАНИЕ</w:t>
      </w:r>
    </w:p>
    <w:p w:rsidR="00837A60" w:rsidRPr="00837A60" w:rsidRDefault="00837A60" w:rsidP="00837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837A60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Частное учреждение «Медико-санитарная часть №36» (Медсанчасть-36)</w:t>
      </w:r>
    </w:p>
    <w:p w:rsidR="00837A60" w:rsidRPr="00837A60" w:rsidRDefault="00837A60" w:rsidP="00837A6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7A60" w:rsidRPr="00837A60" w:rsidRDefault="00837A60" w:rsidP="00837A6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7105"/>
      </w:tblGrid>
      <w:tr w:rsidR="00837A60" w:rsidRPr="00837A60" w:rsidTr="00837A60">
        <w:tc>
          <w:tcPr>
            <w:tcW w:w="3493" w:type="dxa"/>
            <w:shd w:val="clear" w:color="auto" w:fill="auto"/>
          </w:tcPr>
          <w:p w:rsidR="00837A60" w:rsidRPr="00837A60" w:rsidRDefault="00837A60" w:rsidP="0083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37A60" w:rsidRPr="00837A60" w:rsidRDefault="00837A60" w:rsidP="00837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37A60" w:rsidRPr="00837A60" w:rsidTr="00837A60">
        <w:trPr>
          <w:trHeight w:val="647"/>
        </w:trPr>
        <w:tc>
          <w:tcPr>
            <w:tcW w:w="3493" w:type="dxa"/>
            <w:shd w:val="clear" w:color="auto" w:fill="auto"/>
          </w:tcPr>
          <w:p w:rsidR="00837A60" w:rsidRPr="00837A60" w:rsidRDefault="00837A60" w:rsidP="0083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837A6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Наименование продукции </w:t>
            </w:r>
          </w:p>
        </w:tc>
        <w:tc>
          <w:tcPr>
            <w:tcW w:w="7105" w:type="dxa"/>
            <w:shd w:val="clear" w:color="auto" w:fill="auto"/>
          </w:tcPr>
          <w:p w:rsidR="00837A60" w:rsidRPr="00837A60" w:rsidRDefault="00837A60" w:rsidP="008F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7A6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Реакти</w:t>
            </w:r>
            <w:r w:rsidR="008F14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вы для анализаторов </w:t>
            </w:r>
            <w:r w:rsidR="008F14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BIOSEN</w:t>
            </w:r>
            <w:r w:rsidR="008F1433" w:rsidRPr="008F14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 w:rsidR="008F14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Mindray</w:t>
            </w:r>
            <w:r w:rsidR="008F14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8F1433" w:rsidRPr="008F14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3000,3200</w:t>
            </w:r>
            <w:r w:rsidRPr="00837A6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</w:p>
          <w:p w:rsidR="00837A60" w:rsidRPr="00837A60" w:rsidRDefault="00837A60" w:rsidP="008F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37A6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</w:t>
            </w:r>
            <w:r w:rsidR="008F143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одные материалы (стекло, пластик). Реактивы и расходные материалы для иммуногематологии, патанатомии.</w:t>
            </w:r>
          </w:p>
        </w:tc>
      </w:tr>
    </w:tbl>
    <w:p w:rsidR="00837A60" w:rsidRPr="00837A60" w:rsidRDefault="00837A60" w:rsidP="00837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837A60" w:rsidRDefault="00837A60" w:rsidP="006044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2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089"/>
        <w:gridCol w:w="5953"/>
        <w:gridCol w:w="992"/>
        <w:gridCol w:w="851"/>
      </w:tblGrid>
      <w:tr w:rsidR="00837A60" w:rsidRPr="00837A60" w:rsidTr="0080570D">
        <w:trPr>
          <w:trHeight w:val="57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 п/п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 характеристики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 изм.</w:t>
            </w:r>
          </w:p>
        </w:tc>
      </w:tr>
      <w:tr w:rsidR="00837A60" w:rsidRPr="00837A60" w:rsidTr="0080570D">
        <w:trPr>
          <w:trHeight w:val="57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Гемолизирующий раствор глюкоза и лактат с капиллярами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"Раствор глюкоза/лактат гемолизирующий с капиллярами 20 мкл в микропробирках, не менее 1000 шт в упаковке. Назначение: для измерения глюкозы/лактата на  анализаторе глюкозы и лактата BIOSEN, EKF – diagnostic, Германия, имеющегося в наличии у Заказчика.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Описание: картонная упаковка;  в упаковке 1000 пробирок типа Эппендорф  по 2 мл., заполненные 1 мл гемолизирующего раствора +  внутри картонная упаковка, в ней 1000 пластиковых капилляров по 20 мкл End to end расфасованные по 100 шт в пластиковые контейнеры. Упаковка микропробирок содержит ключ-карту с кодом, используемую в анализаторе глюкозы и лактата «Biosen» для его активации и контроля количества исследуемых тестов."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Контрольный раствор глюкозы/лактата норма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"Раствор для глюкозы и лактата контрольный.  Назначение: контрольный раствор (норма) , готовый к использованию  на  анализаторе глюкозы и лактата BIOSEN, EKF – diagnostic, Германия, имеющегося в наличии у Заказчика.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Описание: пластиковый пакет. В упаковке 25 пробирок типа Эппендорф  по 2 мл желтого  цвета, заполненные 1 мл раствором."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Контрольный раствор глюкозы/лактата патология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"Раствор для глюкозы и лактата контрольный.  Назначение: контрольный раствор (патология) , готовый к использованию  на  анализаторе глюкозы и лактата BIOSEN, EKF – diagnostic, Германия, имеющегося в наличии у Заказчика.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Описание: пластиковый пакет. В упаковке 25 пробирок типа Эппендорф  по 2 мл коричневого  цвета, заполненные 1 мл раствором."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Раствор мульти-стандарт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"Раствор мульти-стандарт 12 ммоль/л в микропробирках. Назначение: для измерения глюкозы/лактата на  анализаторе глюкозы и лактата BIOSEN, EKF – diagnostic, Германия, имеющегося в наличии у Заказчика.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Описание: картонная упаковка; в упаковке 100 пробирок типа Эппендорф  по 2 мл., заполненные 2 мл раствор глюкозы 12 ммоль."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837A60" w:rsidRPr="00837A60" w:rsidTr="0080570D">
        <w:trPr>
          <w:trHeight w:val="18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Чип-сенсор Глюкоза II типа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"Чип-сенсор Глюкоза II типа. Назначение: для измерения глюкозы  на  анализаторе глюкозы и лактата BIOSEN, EKF – diagnostic, Германия, имеющегося в наличии у Заказчика.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Описание: представляет собой  прямоугольную  керамическую подложку с электродом и нанесенным на нее ферментом."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183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Чип-сенсор Лактат II типа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"Чип-сенсор Лактат II типа. Назначение: для измерения лактата  на  анализаторе глюкозы и лактата BIOSEN, EKF – diagnostic, Германия, имеющегося в наличии у Заказчика.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Описание: представляет собой  прямоугольную  керамическую подложку с электродом и нанесенным на нее ферментом."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190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Системный раствор глюкоза/лактат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"Раствор глюкоза/лактат системный. Назначение: для измерения глюкозы/лактата на  анализаторе глюкозы и лактата BIOSEN, EKF – diagnostic, Германия, имеющегося в наличии у Заказчика.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Описание: пластмассовый флакон не менее 2,5 </w:t>
            </w: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прямоугольной формы с ручкой."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флак.</w:t>
            </w:r>
          </w:p>
        </w:tc>
      </w:tr>
      <w:tr w:rsidR="00837A60" w:rsidRPr="00837A60" w:rsidTr="0080570D">
        <w:trPr>
          <w:trHeight w:val="1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Изотонический разбавитель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F22BA7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"Изотонический разбавитель для гематологических анализаторов ВС-3000 и ВС-3200, имеющихся в наличии у Заказчика. Объём канистры  не более 10 литров (Из полупрозрачного материала для возможности визуального контроля уровня реагентов)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Концентрация активных компонентов: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Натрий хлорид  &lt; 1,0%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Буфер  &lt; 0,6%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Консервант  &lt; 0,4%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Не содержит азида натрия 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свойства: 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рН реагента, в пределах 7±0,3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Электропроводность, в пределах 18,3±0,3 мСим/см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Фон по PLT, не более 10*109 л-1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Внешний вид – бесцветная прозрачная жидкость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Срок годности, не менее 24 месяцев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штрих-кода на этикетке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цветового идентификатора реагента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Отметка на упаковке о дате изготовления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регистрационного удостоверение 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Крышка канистры с кольцом для контроля первого вскрытия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Канистра с ручкой для переноски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на маркировке знаков по условиям хранения реагента в соответствии с ГОСТ Р ИСО 15223-1-2014</w:t>
            </w:r>
          </w:p>
          <w:p w:rsidR="00837A60" w:rsidRPr="00837A60" w:rsidRDefault="00837A60" w:rsidP="00F22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знака «Медицинское изделие для диагностики in vitro» в соответствии с ГОСТ Р </w:t>
            </w: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ИСО 15223-1-2014</w:t>
            </w:r>
          </w:p>
          <w:p w:rsidR="00837A60" w:rsidRPr="00837A60" w:rsidRDefault="00837A60" w:rsidP="00F2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предупредительных надписей о применении МИ</w:t>
            </w:r>
            <w:r w:rsidR="00F22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инструкции по применению."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</w:p>
        </w:tc>
      </w:tr>
      <w:tr w:rsidR="00837A60" w:rsidRPr="00837A60" w:rsidTr="0080570D">
        <w:trPr>
          <w:trHeight w:val="14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Лизирующий раствор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"Лизирующий раствор для гематологических анализаторов ВС-3000 и ВС-3200, имеющихся в наличии у Заказчика.Объём флакона не менее 0,9л и не более 1л (Из полупрозрачного материала с градуировкой для возможности визуального контроля уровня реагентов)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Концентрация активных компонентов: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Четвертичная аммониевая соль  &lt; 5,0%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Не содержит цианид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Внешний вид – бесцветная прозрачная пенящаяся жидкость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Срок годности, не менее 36 месяцев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штрих-кода на этикетке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цветового идентификатора реагента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Отметка на упаковке о дате изготовления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регистрационного удостоверение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Крышка канистры с кольцом для контроля первого вскрытия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на маркировке знаков по условиям хранения реагента в соответствии с ГОСТ Р ИСО 15223-1-2014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знака «Медицинское изделие для диагностики in vitro» в соответствии с ГОСТ Р ИСО 15223-1-2014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предупредительных надписей о применении МИ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инструкции по применению."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25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Промывающий раствор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"Промывающий раствор для гематологических анализаторов ВС-3000 и ВС-3200, имеющихся в наличии у Заказчика. Объем канистры не более 10 л (Из полупрозрачного материала для возможности визуального контроля уровня реагентов)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Концентрация активных компонентов: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Натрий хлорид  &lt; 1,0%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Буфер  &lt;0,6%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Детергент  &lt; 0,5%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Консервант  &lt; 0,4%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Внешний вид – прозрачная бесцветная пенящаяся жидкость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Срок годности, не менее 18 месяцев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штрих-кода на этикетке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цветового идентификатора реагента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Отметка на упаковке о дате изготовления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регистрационного удостоверение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Крышка канистры с кольцом для контроля первого вскрытия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на маркировке знаков по условиям хранения реагента в соответствии с ГОСТ Р ИСО 15223-1-2014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знака «Медицинское изделие для диагностики in vitro» в соответствии с ГОСТ Р ИСО 15223-1-2014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предупредительных надписей о применении МИ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инструкции по применению."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</w:p>
        </w:tc>
      </w:tr>
      <w:tr w:rsidR="00837A60" w:rsidRPr="00837A60" w:rsidTr="0080570D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Промывающий раствор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"Промывающий раствор для гематологических анализаторов ВС-3000 и ВС-3200, имеющихся в наличии у Заказчика. Объём флакона не менее </w:t>
            </w: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0,05л и не более 0,09л (Из полупрозрачного материала с градуировкой для возможности визуального контроля уровня реагентов)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Концентрация активных компонентов: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Натрий хлорид  &lt; 1,0%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Буфер  &lt; 6 %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Детергент  &lt; 0,5%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Протеолитический фермент  &lt; 5,0%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Консервант  &lt; 0,4%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Краситель  &lt; 0,001%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Внешний вид – прозрачная пенящаяся жидкость зелено-голубого цвета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Характеристика раствора – Ферментативный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Срок годности, не менее 18 месяцев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штрих-кода на этикетке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цветового идентификатора реагента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Отметка на упаковке о дате изготовления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регистрационного удостоверение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на маркировке знаков по условиям хранения реагента в соответствии с ГОСТ Р ИСО 15223-1-2014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знака «Медицинское изделие для диагностики in vitro» в соответствии с ГОСТ Р ИСО 15223-1-2014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предупредительных надписей о применении МИ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инструкции по применению."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29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Очищающий раствор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"Очищающий раствор для гематологических анализаторов ВС-3000 и ВС-3200, имеющихся в наличии у Заказчика. 1. Объём флакона не менее 0,06 л и не более 0,09л (Из полупрозрачного материала для возможности визуального контроля уровня реагентов)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Концентрация активных компонентов: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Натрий гипохлорит  &lt; 1%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Внешний вид – Прозрачный бесцветный, или желтоватого оттенка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Характеристика раствора – Гипохлорит натрия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Срок годности, не менее 18 месяцев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штрих-кода на этикетке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цветового идентификатора реагента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Отметка на упаковке о дате изготовления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регистрационного удостоверение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на маркировке знаков по условиям хранения реагента в соответствии с ГОСТ Р ИСО 15223-1-2014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знака «Медицинское изделие для диагностики in vitro» в соответствии с ГОСТ Р ИСО 15223-1-2014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предупредительных надписей о применении МИ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Наличие инструкции по применению."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 Набор реагетов для определения глюкозы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 реагетов для количественного определения глюкозы глюкозооксидазным методом. Реагенты буфер-субстрат и ферменты в таблетках. Калибровочный раствор глюкозы 10 ммоль/л. Линейность не более 25 ммоль/л. Длина волны 500нм. Срок годности 12 месяцев. Набор не менее 1000 опр.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837A60" w:rsidRPr="00837A60" w:rsidTr="0080570D">
        <w:trPr>
          <w:trHeight w:val="189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 реагентов для определения концентрации белка в моче и  СМЖ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 реагентов для определения концентрации белка в моче и  СМЖ колориметрическим методом с пирогаллоловым красным. Форма выпуска: жидкий монореагент. Фасовка: не менее 2×250 мл. Линейность в диапазоне не менее 0,07- 2,00 г/л. Набор содержит калибратор, не менее 6 мл. Стабильность реагента после вскрытия флакона не менее 6 мес. (2-8°C). Срок годности набора не менее 12 мес. (2</w:t>
            </w:r>
            <w:r w:rsidRPr="00837A60">
              <w:rPr>
                <w:rFonts w:ascii="MS Gothic" w:eastAsia="MS Gothic" w:hAnsi="MS Gothic" w:cs="MS Gothic" w:hint="eastAsia"/>
                <w:sz w:val="28"/>
                <w:szCs w:val="28"/>
              </w:rPr>
              <w:t>‑</w:t>
            </w: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8°C).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837A60" w:rsidRPr="00837A60" w:rsidTr="0080570D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 реагентов для количественного определения этанола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 реагентов для количественного in vitro определения этанола в сыворотке и плазме крови/ Метод: ферментативный УФ тест с алкогольдегидрогеназой. Длина волны, в пределах диапазона: 360-380 нм. Линейность в диапазоне от не более 0,1г/л до не менее 3,5 г/л. Чувствительность: не более чем 0,1г/л. Жидкие стабильные готовые к использованию реагенты. Стабильность: После вскрытия реагенты R1 и R2 стабильны в течение срока, указанного на этикетке при температуре от +2°С до +8°С. Калибровка фотометрических систем проводится по одной точке (по стандарту с одним уровнем) или по нескольким точкам (мультистандартная калибровка). Фасовка: не менее 100 мл (R1 не менее 4 флаконов по не менее 20 мл, R2 не менее 2 флаконов по не менее 10 мл). Количество определений не менее 200.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Антитела моноклональные Анти-А (серия R) для типирования групп крови по системе АВО в реакции прямой гемагглютинации: на стекле, в пробирках, микропланшете. Надежно выявляют антигены А1 и А2; агглютинация со слабыми вариантами антигена А менее выражена. Активный компонент: смесь моноклональных антител класса IgM, секретируемых тремя мышиными гибридомами А-90/16, А-86/3 и Birma-1. Форма выпуска: жидкий препарат, готовый к применению. Фасовка: пластиковые </w:t>
            </w: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флаконы-капельницы по не менее 10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21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"Антитела моноклональные Анти-А1 лектин для дифференциации А1 и более слабых форм А антигена по силе агглютинации. Реагент вызывает полную агглютинацию эритроцитов А1 и А1В. С эритроцитами, содержащими А2 или более слабые формы А антигена. Выявляемый антиген: А1. Прозрачная жидкость бежевого цвета. Активный компонент: лектин Dolichus biflorus.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Цоликлон анти-А1 не должен давать агглютинации с эритроцитами групп А2(II) , В(III) , А2В(IV) и О(I). Титр Цоликлона А1 в прямой реакции агглютинации на плоскости с эритроцитами А1 на плоскости 1:64. Форма выпуска: жидкий препарат, готовый к применению, в пластиковых флаконах-капельницах по не менее 5 мл."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23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 Анти-Асл для уточнения группы крови при наличии слабых вариантов антигена А методом реакции прямой гемагглютинации: на плоскости; в пробирках; в микроплате. Активный компонент: моноклональные антитела класса IgM, секретируемые мышиной гибридомой A-86/3. Выявляемые антигены: А1, А2, А3, Ах. Форма выпуска: жидкий препарат, готовый к применению. Фасовка пластиковые флаконы-капельницы по не менее 5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F22BA7">
        <w:trPr>
          <w:trHeight w:val="11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"Антитела моноклональные Анти-АВ для типирования крови по системе АВО в реакции прямой гемагглютинации: на плоскости; в пробирках; в микроплате, в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микроколонках с гелем. Активный компонент: смесь моноклональные антитела класса IgM, секретируемые тремя мышиными гибридомами А-90/16, А-86/3 и B-85/2-B8. Выявляемые антигены: А и В. Форма выпуска: жидкий </w:t>
            </w: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препарат, готовый к применению. Фасовка пластиковые флаконы-капельницы по не менее 5 мл."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 Анти-В (серия R) для типирования крови по системе АВО в реакции прямой гемагглютинации: на плоскости, в пробирках; микропланшете, автоматизированных системах определения групп крови. Надежно выявляют антиген В, включая его слабые варианты. Активный компонент: моноклональные антитела класса IgM, секретируемые мышиной гибридомой B-85/2-B8. Выявляемый антиген: В. Форма выпуска: жидкий препарат, готовый к применению. Фасовка: пластиковые флаконы-капельницы по не менее 10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68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 Анти-D Супер для резус-типирование крови (определение D антигена) в реакции прямой гемагглютинации на плоскости, в пробирочном тесте, микропланшете, автоматизированных системах определения групп крови. Абсолютно специфичен, содержит полные (IgM) анти-D антитела с высоким титром и авидностью. Выявляемый антиген: Rho (D) системы резус. Прозрачная слегка опалесцирующая жидкость бледно-жёлтого цвета. Активный компонент: моноклональные антитела человека класса IgM, секретируемые гетерогибридомой человек-мышь: НМ-92. Фасовка: пластиковые флаконы-капельницы по не менее 10,0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F22BA7">
        <w:trPr>
          <w:trHeight w:val="155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Антитела моноклональные Анти-Е для резус-типирования крови в реакции прямой гемагглютинации на стекле, в пробирках, микропланшете, автоматизированных системах определения групп крови. Активный компонент: моноклональные антитела человека класса IgM, секретируемые гетерогибридомой человек-мышь Е-1Н4/05. Выявляемый антиген: rh”(E) </w:t>
            </w: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резус. Форма выпуска: жидкий препарат, готовый к применению. Фасовка пластиковые флаконы-капельницы по не менее 5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 Анти-е для резус-типирования крови в реакции прямой гемагглютинации на стекле, в пробирках, микропланшете, автоматизированных системах определения групп крови. Активный компонент: смесь моноклональных антител человека класса IgM, секретируемых гетерогибридомами человек-мышь: MS-63 и MS-21. Выявляемый антиген: hr’’(е) системы резус. Форма выпуска: жидкий препарат, готовый к применению. Фасовка пластиковые флаконы-капельницы по не менее 5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 Анти-С для резус-типирования крови в реакции прямой гемагглютинации на стекле, в пробирках, микропланшете, автоматизированных системах определения групп крови. Активный компонент: смесь моноклональных антител человека класса IgM, секретируемых гетерогибридомами человек-мышь: С93/4Н и P3x25513G8. Выявляемый антиген: rh’(C) системы резус. Форма выпуска: жидкий препарат, готовый к применению. Фасовка пластиковые флаконы-капельницы по не менее 5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8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 Анти-с для резус-типирования крови в реакции прямой гемагглютинации на стекле, в пробирках, микропланшете, автоматизированных системах определения групп крови. Активный компонент: смесь моноклональных антител человека класса IgM, секретируемых гетерогибридомой человек-мышь 951. Выявляемый антиген: hr’(с) системы резус. Форма выпуска: жидкий препарат, готовый к применению.  Фасовка пластиковые флаконы-капельницы по не менее 5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23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"Антитела моноклональные Анти-СW Супер для резус-типирование крови в реакции прямой гемагглютинации: на плоскости; в пробирках; в микроплате. Активный компонент: моноклональные антитела человека класса IgM,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секретируемые гетерогибридомой человек-мышь MS-110. Выявляемые антигены: СW системы резус. Форма выпуска: жидкий препарат, готовый к применению. Фасовка: в пластиковые флаконы-капельницы по не менее 5 мл."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Антитела моноклональные Анти-Келл (К) Супер для типирования крови по системе Келл в реакции прямой гемагглютинации на плоскости и в пробирках. Активный компонент: моноклональные антитела человека класса IgM, секретируемые гетерогибридомой человек-мышь К1-2А8. Выявляемые антигены: К1 системы Келл. Форма выпуска: жидкий препарат, готовый к применению. Фасовка пластиковые флаконы-капельницы по не менее 5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29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Полиглюкин 33%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Полиглюкин 33% - реагент на основе 33% раствора декстрана, являющийся потенциатором неполных (IgG) антител. Вызывает агглютинацию эритроцитов, сенсибилизированных неполными сывороточными или моноклональными антителами. Используется для обнаружения антител к донорским эритроцитам при постановке пробы на совместимость в «полиглюкиновом тесте». Форма выпуска: жидкий препарат, готовый к употреблению в стеклянных или пластиковых флаконах по не менее 10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Масло иммерсионное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Масло иммерсионное. Назначение: иммерсионная жидкость для микроскопии в видимой области спектра. Свойства: прозрачное, имеет показатель преломления света, равный </w:t>
            </w: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таковому стекла линзы и предметного стекла (1,57), не содержит примесей, вызывающих помутнение объектива. Флакон из полиэтилена объемом не менее 100 мл с инструкцией по применению.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 для клинического анализа спинномозговой жидкости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"Набор позволяет определять цитоз, качественное и количественное определение общего белка, качественное определение глобулинов в спинномозговой жидкости.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Р1: реактив Самсона – 1х10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Р2: фенол – 1х2,5 г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Р3: кислота сульфосалициловая 2-водная – п/э пакет (30 г)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Р4: натрий сернокислый – п/э пакет (70 г)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Р5: калибровочный раствор общего белка – 1х5,0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Р6: аммоний сернокислый – п/э пакет (85 г).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Исследование - 200 образцов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Срок годности: 1 год 2-8С"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 для окраски мазков по Граму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"Набор для окраски мазков по Граму (с сафранином). Бумага окрашенная генцианвиолетом, нарезанная на полоски, размером 7,5x2,5 см (100 шт)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Раствор Люголя, 0,33 %  - 2х50 мл.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Раствор сафранина, 0,25 % - 2х50 мл.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Срок годности: 1,5 года при 15-30С. Набор не менее 100 определений."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837A60" w:rsidRPr="00837A60" w:rsidTr="0080570D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 для окраски по Циль-Нильсену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"Набор для окраски по Циль-Нильсену для выявления кислотоустойчивых микроорганизмов. Состав набора: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Карболовый фуксин по Цилю-Нильсену – 1х100 мл.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 серная, 25% объем. - 1х100 мл.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Метиленовый синий, 1% - 1х100 мл.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Бумага фильтровальная размером 4,5×2,5 см - 100 шт.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Окраска 100 препаратов 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Срок годности: 1 год 18-25С"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837A60" w:rsidRPr="00837A60" w:rsidTr="0080570D">
        <w:trPr>
          <w:trHeight w:val="16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 для клинического анализа мокроты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"Набор для клинического анализа мокроты, экссудата, отпечатков с биопсийного и операционного материала. Набор позволяет обнаружить кислотоустойчивые микобактерии, альвеолярные макрофаги (с гемосидерином) и окрасить клетки  азур-эозиновыми красителями.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Карболовый фуксин по Цилю-Нильсену - 2 флакона (по 100 мл);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Кислота серная, 25 % объем. – 2х100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Метиленовый синий, 1 % - 2х100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Калий железистосинеродистый, 5 % - 1х10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Кислота соляная, 5 % - 1х10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Краситель эозин-метиленовый синий по Май-Грюнвальду – 1х100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Краситель азур-эозин по Романовскому – 1х100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Фосфатный буфер (сухая смесь) – 1х2 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Бумага фильтровальная размером 4,5×2,5 см - 200 шт.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Срок годности: 1 год 18-25С"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837A60" w:rsidRPr="00837A60" w:rsidTr="0080570D">
        <w:trPr>
          <w:trHeight w:val="21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 реагентов для клинического анализа кала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"Набор позволяет проводить определение в кале скрытой крови, стеркобилина, билирубина и приготовить препараты для микроскопического исследования.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Бензидин – 1х1,0 г.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 уксусная, 50% – 1х100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Гидроперит, таблетки – 1 упаковка (6 шт).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Цинк уксуснокислый, 100 г/л – 1х100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Раствор Люголя – 1х50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Реактив Фуше – 1х100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Кислота уксусная, 30% – 1х100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Судан III, 2 % – 1х100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Метиленовый синий, 2% – 1х20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Глицерин – 1х130 г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Срок годности: 1 год 18-25С"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837A60" w:rsidRPr="00837A60" w:rsidTr="0080570D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Раствор для окраски ретикулоцитов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"Бриллиантовый крезиловый синий, 1 % в растворе натрия хлористого, 0,9 %  – 1х50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1000 мазков крови при расходе 0,05 мл раствора на окраску одного мазка.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Срок годности: 2 года: 2-8С"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837A60" w:rsidRPr="00837A60" w:rsidTr="0080570D">
        <w:trPr>
          <w:trHeight w:val="190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Сыворотка контрольная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"Сыворотки контрольные для диагностики сифилиса представляют собой жидкую сыворотку крови кролика, содержащую антитела к Treponema pallidum (слабоположительная). Назначение: контроль качества лабораторных исследований на сифилис в реакции пассивной гемагглютинации (РПГА), реакции связывания комплемента (РСК), реакции микропреципитации (РМП), реакции быстрых плазменных реагинов (RPR).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Набор включает: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СК+сл – сыворотка контрольная слабоположительная, 10 фл. по 1  мл. Готов к применению.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Срок годности - 18 месяцев.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транспортирование при </w:t>
            </w: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температуре от 9 до 25С в течение 10 сут.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Обязательно наличие регистрационного удостоверения РФ.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Состав набора: не менее 10 флаконов по 1мл."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10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Диагностикум эритроцитарный брюшнотифозный Vi-антигенный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Диагностикум эритроцитарный сальмонеллезный ВИ-антигенный жидкий. Набор реагентов предназначен для выявления антител к Vi-антигену возбудителя брюшного тифа в сыворотках крови реакцией пассивной гемагглютинации (РПГА). Фасовка ампула  20 мл, в упаковке 5 ампул с диагностикумом и 1 ампула с сывороткой диагностической сальмонеллезной адсорбированной рецептор-Vi жидкой.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Диагностикум сальмонеллезный эритроцитарный О-антигенный комплексный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Диагностикум эритроцитарный сальмонеллезный О-антигенный комплексный (1, 2, 3, 4, 6, 7, 8, 9, 10, 12). Предназначен для выявления в сыворотке крови человека специфических антител к О-антигенам сальмонелл в реакции пассивной гемагглютинации. Упаковка: 4 ампулы по 20 мл диагностикума, 6 ампул по 5 мл сыворотки, 1 ампула взвесь контрольных эритроцитов.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Парафиновая среда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"Парафиновая среда для гистологической заливки. Готовая к использованию гранулированная среда для пропитывания и заливки биопсийного и гистологического материала. Изготовлена из  смеси алкановых, изопарафиновых, циклопарафиновых и нафтено-ароматических углеводородов с добавлением синтетических пластифицирующих добавок.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Адаптирована для использования в автоматических системах проводки и заливки.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Внешний вид: гранулы круглой и многогранной формы.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Цвет: белый.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Запах: без запаха.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Температура плавления: не ниже 52°C и не выше  54°C.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Температура воспламенения: не менее 150 °C.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Удельный вес при 20°C: не менее 900 кг/м³.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Форма выпуска: в картонной коробке с дополнительной упаковкой в пластиковый пакет, предотвращающей загрязнение продукта в процессе транспортировки и хранения.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Вес среды в коробке не менее 5 кг."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1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Ядерный краситель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"Гематоксилин Карацци - краситель для микроскопических препаратов. Обеспечивает визуализацию ядер клеток в срезах (парафиновых, криостатных, вибрoтомных) и цитологических препаратах. Предназначен для использования в качестве ядерного красителя при постановке иммуноцитохимических реакций в сочетании с различными типами хромогенов (в том числе и с растворимыми в этаноле) и для окраски гематоксилин-эозином. Достоинствами данного гематоксилина являются интенсивное окрашивание ядер клеток в срезах и большая устойчивость раствора красителя. Рекомендуется к применению при окраске гистологических срезов декальцинированной костной ткани. Окрашивание можно проводить как прогрессивным, так и регрессивным способом. Продолжительность окраски при использовании прогрессивного способа для различных целей и объектов колеблется от 1 до 20 минут. При необходимости более длительной экспозиции и в случае регрессивного способа окраски может потребоваться разбавление основного раствора.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Визуализирует ядра клеток за счёт излучения с длиной волны от 440 до 485 нм.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Реагент не содержит этанола и метанола.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Форма выпуска: герметичная прямоугольная бутыль с контролем вскрытия и мерной шкалой с делениями.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Объём раствора в упаковке не менее 1000 мл."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1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Среда для заключения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"Акриловая монтирующая маловязкая среда из светостойких акрилатов. С запахом ксилола и цитрусовым оттенком.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Содержание полимера: более 35 % по массе.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Форма выпуска: стеклянная бутыль.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Объём реактива не менее 500 мл.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Условия хранения и транспортировки: не ниже 5°С и не выше 25°С."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333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Хлороформ (трихлорметан)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"Хлороформ (трихлорметан) - бесцветная жидкость с резким запахом и сладким жгучим вкусом. Практически нерастворим в воде. Смешивается с большинством органических растворителей. На воздухе и свету разлагается.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Квалификация: не ниже ХЧ.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Плотность при 20 °С: не менее 1,488 г/см³.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Температура кипения: 59,5-62°С.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Температура плавление: не более минус 63°С.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Срок хранения с момента производства не менее 1 года.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Форма выпуска: стеклянная бутылка.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Объём реактива в упаковке не менее 1 л.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Вес вещества не более 1,5 кг.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Условия хранения: в тёмном прохладном месте."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1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Ортоксилол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"Бесцветная жидкость для обезвоживания и депарафинизации. Смешивается с этанолом, диэтиловым эфиром, ацетоном, хлороформом, </w:t>
            </w: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бензолом.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Квалификация: не хуже ЧДА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вещества: не менее 99,2 %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Растворимость в воде: не более 0,015 %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Плотность при 20°С: от 0,878 до 0,880 г/куб. см.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Температурные пределы перегонки от 5 до 95 %: не более 0,4°С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Температура кристаллизации: не менее минус 25,5°С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Бромное число: не более 0,03 г брома на 100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Форма выпуска: бутылка из темного стекла.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Объём реагента не менее 1 000 мл.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Вес вещества в упаковке не менее 0,8 кг."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Ацетон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Ацетон (диметилкетон, пропанон) - бесцветная летучая жидкость с характерным запахом. Полностью смешивается с водой и большинством органических растворителей. Хорошо растворяет органические вещества и многие соли. ГОСТ 260379. Упаковка не менее 0,8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Формалин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Формалин - водный 40%-ный раствор формальдегида, содержащий 6-15% метанола (ингибитор полимеризации формальдегида). Формалин - бесцветная жидкость с характерным острым запахом, при стоянии мутнеет из-за выпадения белого осадка параформальдегида. Устойчивости при хранении способствует повышение температуры. При длительном хранении в формалине образуется небольшое количество метилаля. Канистра не менее 22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канист</w:t>
            </w:r>
          </w:p>
        </w:tc>
      </w:tr>
      <w:tr w:rsidR="00837A60" w:rsidRPr="00837A60" w:rsidTr="0080570D">
        <w:trPr>
          <w:trHeight w:val="1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Соляная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Соляная кислота ХЧ - раствор хлороводорода в воде; сильная одноосновная кислота. Бесцветная (техническая соляная кислота желтоватая из-за примесей), «дымящая» на воздухе, едкая жидкость.  ГОСТ 311877. Флакон не менее  1,2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8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Фенол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Фенол кристаллический (чда) - простейший представитель класса фенолов. Представляет собой бесцветные игольчатые кристаллы, розовеющие на воздухе из-за окисления. Обладает специфическим запахом (таким, как запах гуаши, так как в состав гуаши входит фенол). Упаковка не менее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8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Эозин натрия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Эозин натрия (2,4,5,7-тетрабромфлуоресцеин, кислотный красный 87) C20H6Br4Na2O5 - ксантеновый краситель, получают действием Вr2 на флуоресцеин в присутствии NaClO3. Внешний вид: коричневый порошок, без запаха. Упаковка не менее 50 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Глицерин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Глицерин — бесцветная, вязкая, очень гигроскопичная жидкость, смешивается с водой в любых пропорциях, сладкий на вкус. ГОСТ 6259-75. Простейший представитель трёхатомных спиртов. Упаковка не менее 1кг.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1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Натрий уксуснокислый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Натрий уксуснокислый 3-водный (ацетат натрия), чда СH3СOОNа·3Н2О кристаллический технический. ГОСТ 19978. Представляет собой кристаллическое вещество от светло-желтого до коричневого цвета. Упаковка не менее 0,5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10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Лезвия для микротомов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"Заменяемое приспособление для микротомии низкого профиля. Применяется для изготовления обычных и ленточных срезов из твердых тканей человека.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Лезвия имеют специально адаптированное покрытие, предохраняющее поверхности от слипания и обеспечивающее дополнительную шлифовку.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изделия: сложнолегированная сталь, устойчивая к коррозии в агрессивных средах.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Длина лезвия: не более 80 мм.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Высота лезвия: не более 8 мм.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Угол заточки: не менее 35°.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Должны быть совместимы с рукоятками для лезвий Feather, имеющимися у Заказчика.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Форма выпуска: полуавтоматический диспенсер с приспособлением для безопасного поштучного извлечения.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Количество лезвий в упаковке не менее 50 штук."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Стакан мерный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Стакан лабораторный высокий с делениями и носиком. Разработан для выполнения большинства химических процедур. Имеет ориентировочную шкалу. Изготовлен из стекла марки ТС. Объем не менее 1000 мл. Цена деления не более 100 мл. Диаметр 95 ± 2,0 мм. Высота 180 ± 3,0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6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Стакан мерный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Стакан лабораторный высокий с делениями и носиком. Разработан для выполнения большинства химических процедур. Имеет ориентировочную шкалу. Изготовлен из стекла марки ТС. Объем не менее 600 мл. Цена деления не более 50 мл. Диаметр 80 ± 2,0 мм. Высота 150 ± 3,0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Стакан мерный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Стакан лабораторный высокий с делениями и носиком. Разработан для выполнения большинства химических процедур. Имеет ориентировочную шкалу. Изготовлен из стекла марки ТС. Объем не менее 250 мл. Цена деления не более 25 мл. Диаметр 60 ± 1,5 мм. Высота 120 ± 3,0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8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Стакан мерный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Стакан лабораторный высокий с делениями и носиком. Разработан для выполнения большинства химических процедур. Имеет </w:t>
            </w: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ориентировочную шкалу  синего цвета. Изготовлен из стекла марки ТС. Объем не менее 100 мл. Цена деления не более 25 мл. Диаметр 48±1,0 мм. Высота 80±2,0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8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EB08F6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Цилиндр с носиком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EB08F6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6">
              <w:rPr>
                <w:rFonts w:ascii="Times New Roman" w:hAnsi="Times New Roman" w:cs="Times New Roman"/>
                <w:sz w:val="28"/>
                <w:szCs w:val="28"/>
              </w:rPr>
              <w:t>Цилиндры лабораторные (мерные: исполнение 3 - на полиэтиленовом основании). Разработан для дозирования нелетучих жидкостей. Нанесенная шкала  совершенно устойчива к любым воздействиям. Объемне менее 100 мл. Допустимая погрешность ±1,0 мл. Цена деления не более 1,0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Чаша стеклянная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Чаша кристаллизационная. Предназначена для выпаривания и перекристаллизации химических веществ. Изготовлена из стекла ТС по ГОСТ 21400-75. Диаметр внутренний 121 мм. Диаметр наружный 125 мм. Высота 60 мм. Объём не менее 600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190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Колба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"Колба коническая (Эрленмейера) со шлифом разработана для фильтрования, выпаривания, перегонки, разгонки, дистилляции и синтеза в лабораторных условиях. Производится с ориентировочной шкалой белого цвета. Изготовлена из стекла ТС. Вместимость не менее 1000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Цена деления не более 100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Обозначение конуса 29/32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Высота 215 ± 4,0 мм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Диаметр колбы 131 ± 3,0 мм."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Колба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EB08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"Колба коническая (Эрленмейера) со шлифом разработана для фильтрования, выпаривания, перегонки, разгонки, дистилляции и синтеза в лабораторных условиях. Производится с ориентировочной шкалой белого цвета. Изготовлена из стекла ТС. Вместимость не менее 500 мл</w:t>
            </w:r>
          </w:p>
          <w:p w:rsidR="00837A60" w:rsidRPr="00837A60" w:rsidRDefault="00837A60" w:rsidP="00EB08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Цена деления не более 50 мл</w:t>
            </w:r>
          </w:p>
          <w:p w:rsidR="00837A60" w:rsidRPr="00837A60" w:rsidRDefault="00837A60" w:rsidP="00EB08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Обозначение конуса 29/32</w:t>
            </w:r>
          </w:p>
          <w:p w:rsidR="00837A60" w:rsidRPr="00837A60" w:rsidRDefault="00837A60" w:rsidP="00EB08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Высота 170 ± 4,0 мм</w:t>
            </w:r>
          </w:p>
          <w:p w:rsidR="00837A60" w:rsidRPr="00837A60" w:rsidRDefault="00837A60" w:rsidP="00EB08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Диаметр колбы 105 ± 2,0 мм"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Колба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"Колба коническая (Эрленмейера) со шлифом разработана для фильтрования, выпаривания, перегонки, разгонки, дистилляции и синтеза в лабораторных условиях. Производится с ориентировочной шкалой белого цвета. Изготовлена из стекла ТС. Вместимость не менее 250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Цена деления не более 25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Обозначение конуса 29/32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Высота 140 ± 3,0 мм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Диаметр колбы 85 ± 2,0 мм"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Пробка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"Пробка пустотелая. Применяется для укупоривания различной лабораторной посуды: склянок, колб, цилиндров, пробирок и т.д. Изделия изготовлены из химико-лабораторного стекла по ГОСТ 21400. Обозначение конуса по ГОСТ 8682 - 29/32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Высота 65 ± 3,0 мм."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570D">
              <w:rPr>
                <w:rFonts w:ascii="Times New Roman" w:hAnsi="Times New Roman" w:cs="Times New Roman"/>
                <w:sz w:val="28"/>
                <w:szCs w:val="28"/>
              </w:rPr>
              <w:t>оронка лабораторная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0570D" w:rsidRPr="0080570D" w:rsidRDefault="0080570D" w:rsidP="0080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70D">
              <w:rPr>
                <w:rFonts w:ascii="Times New Roman" w:hAnsi="Times New Roman" w:cs="Times New Roman"/>
                <w:sz w:val="28"/>
                <w:szCs w:val="28"/>
              </w:rPr>
              <w:t>"Воронка лабораторная. Предназначена для переливания и фильтрования жидкостей. Изготовлена из стекла ХС1. Диаметр воронки 100 ± 10,0 мм</w:t>
            </w:r>
          </w:p>
          <w:p w:rsidR="0080570D" w:rsidRPr="0080570D" w:rsidRDefault="0080570D" w:rsidP="0080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70D">
              <w:rPr>
                <w:rFonts w:ascii="Times New Roman" w:hAnsi="Times New Roman" w:cs="Times New Roman"/>
                <w:sz w:val="28"/>
                <w:szCs w:val="28"/>
              </w:rPr>
              <w:t>Диаметр носика 14 ± 2,0 мм</w:t>
            </w:r>
          </w:p>
          <w:p w:rsidR="00837A60" w:rsidRPr="00837A60" w:rsidRDefault="0080570D" w:rsidP="0080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70D">
              <w:rPr>
                <w:rFonts w:ascii="Times New Roman" w:hAnsi="Times New Roman" w:cs="Times New Roman"/>
                <w:sz w:val="28"/>
                <w:szCs w:val="28"/>
              </w:rPr>
              <w:t>Высота не менее 150 мм."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0570D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Воронка лабораторная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0570D" w:rsidRPr="0080570D" w:rsidRDefault="0080570D" w:rsidP="0080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80570D">
              <w:rPr>
                <w:rFonts w:ascii="Times New Roman" w:hAnsi="Times New Roman" w:cs="Times New Roman"/>
                <w:sz w:val="28"/>
                <w:szCs w:val="28"/>
              </w:rPr>
              <w:t>"Воронка лабораторная. Предназначена для переливания и фильтрования жидкостей. Изготовлена из стекла ХС1. Диаметр воронки 150 ± 10,0 мм</w:t>
            </w:r>
          </w:p>
          <w:p w:rsidR="0080570D" w:rsidRPr="0080570D" w:rsidRDefault="0080570D" w:rsidP="0080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70D">
              <w:rPr>
                <w:rFonts w:ascii="Times New Roman" w:hAnsi="Times New Roman" w:cs="Times New Roman"/>
                <w:sz w:val="28"/>
                <w:szCs w:val="28"/>
              </w:rPr>
              <w:t>Диаметр носика 16 ± 2,0 мм</w:t>
            </w:r>
          </w:p>
          <w:p w:rsidR="00837A60" w:rsidRPr="00837A60" w:rsidRDefault="0080570D" w:rsidP="0080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70D">
              <w:rPr>
                <w:rFonts w:ascii="Times New Roman" w:hAnsi="Times New Roman" w:cs="Times New Roman"/>
                <w:sz w:val="28"/>
                <w:szCs w:val="28"/>
              </w:rPr>
              <w:t>Высота не менее 230 мм"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28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Бумага фильтровальная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0570D" w:rsidRPr="0080570D" w:rsidRDefault="0080570D" w:rsidP="0080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70D">
              <w:rPr>
                <w:rFonts w:ascii="Times New Roman" w:hAnsi="Times New Roman" w:cs="Times New Roman"/>
                <w:sz w:val="28"/>
                <w:szCs w:val="28"/>
              </w:rPr>
              <w:t>"Бумага фильтровальная разработана для фильтрации воды, масла и прочих веществ, содержащих взвешенные примеси, при общелабораторных работах. Фильтровальная бумага может применяться как сорбирующий материал. Размер 200*200 ±5 мм. Упаковка не менее 1 кг. Плотность не менее 75 г/м2</w:t>
            </w:r>
          </w:p>
          <w:p w:rsidR="00837A60" w:rsidRPr="00837A60" w:rsidRDefault="00837A60" w:rsidP="00805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0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Двухромокислый калий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0570D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70D">
              <w:rPr>
                <w:rFonts w:ascii="Times New Roman" w:hAnsi="Times New Roman" w:cs="Times New Roman"/>
                <w:sz w:val="28"/>
                <w:szCs w:val="28"/>
              </w:rPr>
              <w:t>Калий двухромовокислый - неорганическое соединение, калиевая соль дихромовой кислоты с химической формулой K2Cr2O7, имеет вид оранжевых кристаллов. Обладает сильными окислительными свойствами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0570D">
              <w:rPr>
                <w:rFonts w:ascii="Times New Roman" w:hAnsi="Times New Roman" w:cs="Times New Roman"/>
                <w:sz w:val="28"/>
                <w:szCs w:val="28"/>
              </w:rPr>
              <w:t>Упаковка не менее 1кг.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Лимонно-кислый натрий (цитрат </w:t>
            </w:r>
            <w:r w:rsidRPr="0083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0570D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70D">
              <w:rPr>
                <w:rFonts w:ascii="Times New Roman" w:hAnsi="Times New Roman" w:cs="Times New Roman"/>
                <w:sz w:val="28"/>
                <w:szCs w:val="28"/>
              </w:rPr>
              <w:t>Натрий лимоннокислый трехзамещенный 2-водный (цитрат натрия) - кристаллическое вещество белого цвета. Хорошо растворим в воде. Не растворим в гексане, бензоле, хлороформе. Слабо растворим в метиловом и этиловом спиртах, имеет средневыраженный солёно-кислый вкус. Упаковка не менее 0,5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837A60" w:rsidRPr="00837A60" w:rsidTr="0080570D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0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Азур </w:t>
            </w:r>
            <w:r w:rsidRPr="0083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0570D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70D">
              <w:rPr>
                <w:rFonts w:ascii="Times New Roman" w:hAnsi="Times New Roman" w:cs="Times New Roman"/>
                <w:sz w:val="28"/>
                <w:szCs w:val="28"/>
              </w:rPr>
              <w:t>Азур II — смесь красителей азур I и метиленового синего в соотношении 1/2. Упаковка не менее 50гр.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837A60" w:rsidRPr="00837A60" w:rsidTr="0080570D">
        <w:trPr>
          <w:trHeight w:val="14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Скарификатор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Скарификатор-копье (боковое расположение) для прокалывания кожи пальца при взятии проб крови на клинические и другие анализы, одноразовый, стерильный. Состав и описание изделия: пластина с копьем изготовленная из холодно-катанной и высоко-нагартованной нержавеющей ленты в соответствии с медицинскими требованиями, длина копья 3,0±0,7 мм.(стандартное). Изделия  проходят процесс газовой стерилизация оксидом этилена. Изделие упаковано поштучно (индивидуально). Все изделия ориентированы, надпись «Не вскрывать со стороны копья!» указывает на сторону копья. Упаковка не менее 2000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5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"Планшет с лунками представляет собой полистирольную пластину с не менее  72 круглодонными лунками. Имеет буквенно-цифровую маркировку, максимально облегчающую организацию анализа. Коэффициент светопропускания дна ячейки не менее 88% при длине световой волны в диапазоне 480-520 нм, с разбросом показателй по всем 72 лункам не более 2,5%.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Размеры (225×120) ± 1 × (14 ± 0,5) мм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Емкость лунки не менее 2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Диаметр лунки не менее 15 мм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Материал полистирол."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8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Кювета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Кювета для фотометра полистирольная, объем не менее 1,6мл, размер 10х10х45 мм,. Упаковка не менее 100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Пробирка микро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для исследования проб крови с антикоагулянтом. Пробирка не более 46х9мм, РР, круглодонная, "юбка" устойчивости, напыление К3-ЭДТА. На пробирку нанесены градуировочная отметка "200 EDTA K", срок годности, № лота. Поставляется в комплекте с двумя съемными крышками: специальной резьбовой крышкой для фиксации коллектора для взятия крови и прокалываемой резьбовой крышкой, обеспечивающей герметичное закрывание пробирки и проведение исследования на автоматических анализаторах без необходимости снятия крышки. Длина коллектора 70 мм, объем 200 мкл. Коллектор интегрирован в верхнюю съёмную крышку и находится в собранном виде, капиллярная система "end-to-end" собрана и готова к использованию. Возможность забора капиллярной крови как с помощью коллектора, так и самотеком. Цветовая маркировка - розовый. Уп. не менее 100 шт. Назначение: для получения пробы капиллярной крови и </w:t>
            </w: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общеклинических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14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Ванночка для реагентов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"Ванночка для реагентов. Предназначена для наполнения раствором (химреактивы, реагенты, биологические жидкости и т.п.) с последующим отбором этого раствора дозаторами при проведении диагностических исследований. Изготовлена из полистирола. Ванночка для многоканальных дозаторов является нестерильным изделием однократного применения.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Объём не менее 30 мл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Габариты не менее 100 × 50 × 19 мм."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837A60" w:rsidRPr="00837A60" w:rsidTr="0080570D">
        <w:trPr>
          <w:trHeight w:val="10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Чашка Петри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 xml:space="preserve">"Предназначена для идентификации бактерий на культуральной среде. Чашки Петри стерильные изготовлены из полистирола высокой прозрачности. Чашка Петри имеет специализированные опоры на крышке для аэробного культирования микроорганизмов. 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Внешний Ø основания 37 ± 0,5 мм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Высота (основание+крышка) 12 ± 0,5 мм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Материал полистирол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Вид упаковки - стерильная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Упаковка не менее 10 шт."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</w:tr>
      <w:tr w:rsidR="00837A60" w:rsidRPr="00837A60" w:rsidTr="0080570D">
        <w:trPr>
          <w:trHeight w:val="16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"Планшет «U-образный» предназначен для реакций с культурами клеток (совместимость трансплантантов донора и реципиента). Имеется буквенно-цифровая маркировка. Коэффициент светопропускания донышка планшета превышает 88% при длине световой волны в диапазоне 480—520 нм, с разбросом показателя по всем 96 лункам не более 2,5%. Планшет состоит из корпуса и крышки, изготовленных из прозрачного полистирола.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Размеры (128 × 85,5 × 17 мм) ± 0,2 мм</w:t>
            </w:r>
          </w:p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упаковки: стерильная/индивидуальная"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60" w:rsidRPr="00837A60" w:rsidRDefault="00837A60" w:rsidP="0083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</w:tbl>
    <w:p w:rsidR="00837A60" w:rsidRPr="00837A60" w:rsidRDefault="00837A60" w:rsidP="00837A60">
      <w:pPr>
        <w:rPr>
          <w:rFonts w:ascii="Times New Roman" w:hAnsi="Times New Roman" w:cs="Times New Roman"/>
          <w:sz w:val="28"/>
          <w:szCs w:val="28"/>
        </w:rPr>
      </w:pPr>
    </w:p>
    <w:p w:rsidR="00837A60" w:rsidRDefault="00837A60" w:rsidP="00604462">
      <w:pPr>
        <w:rPr>
          <w:rFonts w:ascii="Times New Roman" w:hAnsi="Times New Roman" w:cs="Times New Roman"/>
          <w:sz w:val="28"/>
          <w:szCs w:val="28"/>
        </w:rPr>
      </w:pPr>
    </w:p>
    <w:p w:rsidR="00604462" w:rsidRDefault="00604462" w:rsidP="00604462">
      <w:pPr>
        <w:rPr>
          <w:rFonts w:ascii="Times New Roman" w:hAnsi="Times New Roman" w:cs="Times New Roman"/>
          <w:sz w:val="28"/>
          <w:szCs w:val="28"/>
        </w:rPr>
      </w:pPr>
      <w:r w:rsidRPr="00604462">
        <w:rPr>
          <w:rFonts w:ascii="Times New Roman" w:hAnsi="Times New Roman" w:cs="Times New Roman"/>
          <w:sz w:val="28"/>
          <w:szCs w:val="28"/>
        </w:rPr>
        <w:t>Условия поставки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29"/>
        <w:gridCol w:w="7953"/>
      </w:tblGrid>
      <w:tr w:rsidR="004A1C31" w:rsidTr="004A1C31">
        <w:tc>
          <w:tcPr>
            <w:tcW w:w="2802" w:type="dxa"/>
          </w:tcPr>
          <w:p w:rsidR="004A1C31" w:rsidRDefault="004A1C31" w:rsidP="0060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31">
              <w:rPr>
                <w:rFonts w:ascii="Times New Roman" w:hAnsi="Times New Roman" w:cs="Times New Roman"/>
                <w:sz w:val="28"/>
                <w:szCs w:val="28"/>
              </w:rPr>
              <w:t>Отсрочка оплаты (календарных дней с даты товарной накладной)</w:t>
            </w:r>
          </w:p>
        </w:tc>
        <w:tc>
          <w:tcPr>
            <w:tcW w:w="8505" w:type="dxa"/>
          </w:tcPr>
          <w:p w:rsidR="004A1C31" w:rsidRDefault="004A1C31" w:rsidP="0060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1C31" w:rsidTr="004A1C31">
        <w:tc>
          <w:tcPr>
            <w:tcW w:w="2802" w:type="dxa"/>
          </w:tcPr>
          <w:p w:rsidR="004A1C31" w:rsidRDefault="004A1C31" w:rsidP="0060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31">
              <w:rPr>
                <w:rFonts w:ascii="Times New Roman" w:hAnsi="Times New Roman" w:cs="Times New Roman"/>
                <w:sz w:val="28"/>
                <w:szCs w:val="28"/>
              </w:rPr>
              <w:t>Срочная сборка</w:t>
            </w:r>
          </w:p>
        </w:tc>
        <w:tc>
          <w:tcPr>
            <w:tcW w:w="8505" w:type="dxa"/>
          </w:tcPr>
          <w:p w:rsidR="004A1C31" w:rsidRDefault="004A1C31" w:rsidP="0060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31">
              <w:rPr>
                <w:rFonts w:ascii="Times New Roman" w:hAnsi="Times New Roman" w:cs="Times New Roman"/>
                <w:sz w:val="28"/>
                <w:szCs w:val="28"/>
              </w:rPr>
              <w:t>Оплачивается дополнительно</w:t>
            </w:r>
          </w:p>
        </w:tc>
      </w:tr>
      <w:tr w:rsidR="004A1C31" w:rsidTr="004A1C31">
        <w:tc>
          <w:tcPr>
            <w:tcW w:w="2802" w:type="dxa"/>
          </w:tcPr>
          <w:p w:rsidR="004A1C31" w:rsidRDefault="004A1C31" w:rsidP="0060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31"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8505" w:type="dxa"/>
          </w:tcPr>
          <w:p w:rsidR="004A1C31" w:rsidRDefault="004A1C31" w:rsidP="0060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31">
              <w:rPr>
                <w:rFonts w:ascii="Times New Roman" w:hAnsi="Times New Roman" w:cs="Times New Roman"/>
                <w:sz w:val="28"/>
                <w:szCs w:val="28"/>
              </w:rPr>
              <w:t>Доставка до склада Покупателя</w:t>
            </w:r>
          </w:p>
        </w:tc>
      </w:tr>
      <w:tr w:rsidR="004A1C31" w:rsidTr="004A1C31">
        <w:tc>
          <w:tcPr>
            <w:tcW w:w="2802" w:type="dxa"/>
          </w:tcPr>
          <w:p w:rsidR="004A1C31" w:rsidRDefault="004A1C31" w:rsidP="0060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31">
              <w:rPr>
                <w:rFonts w:ascii="Times New Roman" w:hAnsi="Times New Roman" w:cs="Times New Roman"/>
                <w:sz w:val="28"/>
                <w:szCs w:val="28"/>
              </w:rPr>
              <w:t>Доставка Товара</w:t>
            </w:r>
          </w:p>
        </w:tc>
        <w:tc>
          <w:tcPr>
            <w:tcW w:w="8505" w:type="dxa"/>
          </w:tcPr>
          <w:p w:rsidR="004A1C31" w:rsidRDefault="004A1C31" w:rsidP="0060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31">
              <w:rPr>
                <w:rFonts w:ascii="Times New Roman" w:hAnsi="Times New Roman" w:cs="Times New Roman"/>
                <w:sz w:val="28"/>
                <w:szCs w:val="28"/>
              </w:rPr>
              <w:t>Доставка продукции включена с стоимость</w:t>
            </w:r>
          </w:p>
        </w:tc>
      </w:tr>
      <w:tr w:rsidR="004A1C31" w:rsidTr="004A1C31">
        <w:tc>
          <w:tcPr>
            <w:tcW w:w="2802" w:type="dxa"/>
          </w:tcPr>
          <w:p w:rsidR="004A1C31" w:rsidRDefault="004A1C31" w:rsidP="0060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31">
              <w:rPr>
                <w:rFonts w:ascii="Times New Roman" w:hAnsi="Times New Roman" w:cs="Times New Roman"/>
                <w:sz w:val="28"/>
                <w:szCs w:val="28"/>
              </w:rPr>
              <w:t>Срок поставки товара</w:t>
            </w:r>
          </w:p>
        </w:tc>
        <w:tc>
          <w:tcPr>
            <w:tcW w:w="8505" w:type="dxa"/>
          </w:tcPr>
          <w:p w:rsidR="004A1C31" w:rsidRDefault="004A1C31" w:rsidP="0060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31">
              <w:rPr>
                <w:rFonts w:ascii="Times New Roman" w:hAnsi="Times New Roman" w:cs="Times New Roman"/>
                <w:sz w:val="28"/>
                <w:szCs w:val="28"/>
              </w:rPr>
              <w:t>Сроки поставки продукции с момента подачи заявки -  не более 60 дней</w:t>
            </w:r>
          </w:p>
        </w:tc>
      </w:tr>
      <w:tr w:rsidR="004A1C31" w:rsidTr="004A1C31">
        <w:tc>
          <w:tcPr>
            <w:tcW w:w="2802" w:type="dxa"/>
          </w:tcPr>
          <w:p w:rsidR="004A1C31" w:rsidRDefault="00FA78E6" w:rsidP="0060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E6">
              <w:rPr>
                <w:rFonts w:ascii="Times New Roman" w:hAnsi="Times New Roman" w:cs="Times New Roman"/>
                <w:sz w:val="28"/>
                <w:szCs w:val="28"/>
              </w:rPr>
              <w:t>Возврат товара надлежащего качества/отказ от продукции после согласования Заказа или его оплаты</w:t>
            </w:r>
          </w:p>
        </w:tc>
        <w:tc>
          <w:tcPr>
            <w:tcW w:w="8505" w:type="dxa"/>
          </w:tcPr>
          <w:p w:rsidR="004A1C31" w:rsidRDefault="00FA78E6" w:rsidP="0060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E6">
              <w:rPr>
                <w:rFonts w:ascii="Times New Roman" w:hAnsi="Times New Roman" w:cs="Times New Roman"/>
                <w:sz w:val="28"/>
                <w:szCs w:val="28"/>
              </w:rPr>
              <w:t>Возврат/отказ Покупателя от Продукции надлежащего качества невозможен</w:t>
            </w:r>
          </w:p>
        </w:tc>
      </w:tr>
      <w:tr w:rsidR="004A1C31" w:rsidTr="004A1C31">
        <w:tc>
          <w:tcPr>
            <w:tcW w:w="2802" w:type="dxa"/>
          </w:tcPr>
          <w:p w:rsidR="004A1C31" w:rsidRDefault="00FA78E6" w:rsidP="0060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E6">
              <w:rPr>
                <w:rFonts w:ascii="Times New Roman" w:hAnsi="Times New Roman" w:cs="Times New Roman"/>
                <w:sz w:val="28"/>
                <w:szCs w:val="28"/>
              </w:rPr>
              <w:t>Работа с рекламациями</w:t>
            </w:r>
          </w:p>
        </w:tc>
        <w:tc>
          <w:tcPr>
            <w:tcW w:w="8505" w:type="dxa"/>
          </w:tcPr>
          <w:p w:rsidR="004A1C31" w:rsidRDefault="00FA78E6" w:rsidP="0060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E6">
              <w:rPr>
                <w:rFonts w:ascii="Times New Roman" w:hAnsi="Times New Roman" w:cs="Times New Roman"/>
                <w:sz w:val="28"/>
                <w:szCs w:val="28"/>
              </w:rPr>
              <w:t>Принятие решения в течение 5 рабочих дней с даты предоставления необходимых документов, замена продукции в течение 7 дней при наличии продукции на складе Поставщика, при отсутствии - срок замены увеличивается на нормативный срок поставки.</w:t>
            </w:r>
          </w:p>
        </w:tc>
      </w:tr>
      <w:tr w:rsidR="004A1C31" w:rsidTr="004A1C31">
        <w:tc>
          <w:tcPr>
            <w:tcW w:w="2802" w:type="dxa"/>
          </w:tcPr>
          <w:p w:rsidR="004A1C31" w:rsidRDefault="00FA78E6" w:rsidP="0060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E6">
              <w:rPr>
                <w:rFonts w:ascii="Times New Roman" w:hAnsi="Times New Roman" w:cs="Times New Roman"/>
                <w:sz w:val="28"/>
                <w:szCs w:val="28"/>
              </w:rPr>
              <w:t>Срок годности товара</w:t>
            </w:r>
            <w:r w:rsidRPr="00FA78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5" w:type="dxa"/>
          </w:tcPr>
          <w:p w:rsidR="004A1C31" w:rsidRDefault="00FA78E6" w:rsidP="0060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E6">
              <w:rPr>
                <w:rFonts w:ascii="Times New Roman" w:hAnsi="Times New Roman" w:cs="Times New Roman"/>
                <w:sz w:val="28"/>
                <w:szCs w:val="28"/>
              </w:rPr>
              <w:t>Товар поставляется с остаточным сроком годности на момент его поставки - не менее 70 (семидесяти) %.</w:t>
            </w:r>
          </w:p>
        </w:tc>
      </w:tr>
    </w:tbl>
    <w:p w:rsidR="00604462" w:rsidRPr="00604462" w:rsidRDefault="00604462" w:rsidP="00604462">
      <w:pPr>
        <w:rPr>
          <w:rFonts w:ascii="Times New Roman" w:hAnsi="Times New Roman" w:cs="Times New Roman"/>
          <w:sz w:val="28"/>
          <w:szCs w:val="28"/>
        </w:rPr>
      </w:pPr>
    </w:p>
    <w:p w:rsidR="00604462" w:rsidRPr="00604462" w:rsidRDefault="00604462" w:rsidP="00604462">
      <w:pPr>
        <w:rPr>
          <w:rFonts w:ascii="Times New Roman" w:hAnsi="Times New Roman" w:cs="Times New Roman"/>
          <w:sz w:val="28"/>
          <w:szCs w:val="28"/>
        </w:rPr>
      </w:pPr>
      <w:r w:rsidRPr="00604462">
        <w:rPr>
          <w:rFonts w:ascii="Times New Roman" w:hAnsi="Times New Roman" w:cs="Times New Roman"/>
          <w:sz w:val="28"/>
          <w:szCs w:val="28"/>
        </w:rPr>
        <w:t xml:space="preserve">Заказчик оставляет за собой право изменить общий объем услуг в пределах согласованного Опциона с одновременным увеличением или уменьшением фактической оплаты за них </w:t>
      </w:r>
    </w:p>
    <w:p w:rsidR="00604462" w:rsidRPr="00604462" w:rsidRDefault="00604462" w:rsidP="00604462">
      <w:pPr>
        <w:rPr>
          <w:rFonts w:ascii="Times New Roman" w:hAnsi="Times New Roman" w:cs="Times New Roman"/>
          <w:sz w:val="28"/>
          <w:szCs w:val="28"/>
        </w:rPr>
      </w:pPr>
      <w:r w:rsidRPr="00604462">
        <w:rPr>
          <w:rFonts w:ascii="Times New Roman" w:hAnsi="Times New Roman" w:cs="Times New Roman"/>
          <w:sz w:val="28"/>
          <w:szCs w:val="28"/>
        </w:rPr>
        <w:t>Опцион Заказчика в сторону увеличения: (+) 30 % от общего объема услуг, с одновременным увеличением их фактической стоимости.</w:t>
      </w:r>
    </w:p>
    <w:p w:rsidR="00604462" w:rsidRPr="00604462" w:rsidRDefault="00604462" w:rsidP="00604462">
      <w:pPr>
        <w:rPr>
          <w:rFonts w:ascii="Times New Roman" w:hAnsi="Times New Roman" w:cs="Times New Roman"/>
          <w:sz w:val="28"/>
          <w:szCs w:val="28"/>
        </w:rPr>
      </w:pPr>
      <w:r w:rsidRPr="00604462">
        <w:rPr>
          <w:rFonts w:ascii="Times New Roman" w:hAnsi="Times New Roman" w:cs="Times New Roman"/>
          <w:sz w:val="28"/>
          <w:szCs w:val="28"/>
        </w:rPr>
        <w:t>Опцион Заказчика в сторону уменьшения: (-) 30 % от общего объема услуг, с одновременным уменьшением их фактической стоимости.</w:t>
      </w:r>
    </w:p>
    <w:p w:rsidR="00604462" w:rsidRPr="004A1C31" w:rsidRDefault="00604462" w:rsidP="00604462">
      <w:pPr>
        <w:rPr>
          <w:rFonts w:ascii="Times New Roman" w:hAnsi="Times New Roman" w:cs="Times New Roman"/>
          <w:sz w:val="28"/>
          <w:szCs w:val="28"/>
        </w:rPr>
      </w:pPr>
      <w:r w:rsidRPr="004A1C31">
        <w:rPr>
          <w:rFonts w:ascii="Times New Roman" w:hAnsi="Times New Roman" w:cs="Times New Roman"/>
          <w:sz w:val="28"/>
          <w:szCs w:val="28"/>
        </w:rPr>
        <w:t xml:space="preserve">Заведующий клинико-диагностической лабораторией               </w:t>
      </w:r>
      <w:r w:rsidR="00EB08F6">
        <w:rPr>
          <w:rFonts w:ascii="Times New Roman" w:hAnsi="Times New Roman" w:cs="Times New Roman"/>
          <w:sz w:val="28"/>
          <w:szCs w:val="28"/>
        </w:rPr>
        <w:t xml:space="preserve">     </w:t>
      </w:r>
      <w:r w:rsidRPr="004A1C31">
        <w:rPr>
          <w:rFonts w:ascii="Times New Roman" w:hAnsi="Times New Roman" w:cs="Times New Roman"/>
          <w:sz w:val="28"/>
          <w:szCs w:val="28"/>
        </w:rPr>
        <w:t xml:space="preserve">    Кривошеина Н.В.</w:t>
      </w:r>
    </w:p>
    <w:p w:rsidR="00604462" w:rsidRDefault="00604462" w:rsidP="00604462"/>
    <w:p w:rsidR="009639A9" w:rsidRDefault="009639A9"/>
    <w:sectPr w:rsidR="009639A9" w:rsidSect="00F31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30" w:rsidRDefault="00104A30" w:rsidP="004238B7">
      <w:pPr>
        <w:spacing w:after="0" w:line="240" w:lineRule="auto"/>
      </w:pPr>
      <w:r>
        <w:separator/>
      </w:r>
    </w:p>
  </w:endnote>
  <w:endnote w:type="continuationSeparator" w:id="0">
    <w:p w:rsidR="00104A30" w:rsidRDefault="00104A30" w:rsidP="0042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30" w:rsidRDefault="00104A30" w:rsidP="004238B7">
      <w:pPr>
        <w:spacing w:after="0" w:line="240" w:lineRule="auto"/>
      </w:pPr>
      <w:r>
        <w:separator/>
      </w:r>
    </w:p>
  </w:footnote>
  <w:footnote w:type="continuationSeparator" w:id="0">
    <w:p w:rsidR="00104A30" w:rsidRDefault="00104A30" w:rsidP="0042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5775B"/>
    <w:multiLevelType w:val="multilevel"/>
    <w:tmpl w:val="57FE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1E"/>
    <w:rsid w:val="000460BF"/>
    <w:rsid w:val="00104A30"/>
    <w:rsid w:val="00181C1E"/>
    <w:rsid w:val="001B4FAD"/>
    <w:rsid w:val="001C0370"/>
    <w:rsid w:val="001F634D"/>
    <w:rsid w:val="00236ADD"/>
    <w:rsid w:val="00237282"/>
    <w:rsid w:val="002431C1"/>
    <w:rsid w:val="002943E8"/>
    <w:rsid w:val="002D71A9"/>
    <w:rsid w:val="002E36D8"/>
    <w:rsid w:val="00361E50"/>
    <w:rsid w:val="00394B26"/>
    <w:rsid w:val="003F3230"/>
    <w:rsid w:val="004238B7"/>
    <w:rsid w:val="004A1C31"/>
    <w:rsid w:val="004F40E5"/>
    <w:rsid w:val="005570BB"/>
    <w:rsid w:val="00601995"/>
    <w:rsid w:val="00604462"/>
    <w:rsid w:val="0060781A"/>
    <w:rsid w:val="0068197D"/>
    <w:rsid w:val="00697B22"/>
    <w:rsid w:val="006A4608"/>
    <w:rsid w:val="006C0DBF"/>
    <w:rsid w:val="0080570D"/>
    <w:rsid w:val="00820D7B"/>
    <w:rsid w:val="008354CD"/>
    <w:rsid w:val="00837A60"/>
    <w:rsid w:val="008840A6"/>
    <w:rsid w:val="008A1028"/>
    <w:rsid w:val="008F1433"/>
    <w:rsid w:val="009639A9"/>
    <w:rsid w:val="00A3787D"/>
    <w:rsid w:val="00AA758F"/>
    <w:rsid w:val="00B56CDE"/>
    <w:rsid w:val="00B71DC0"/>
    <w:rsid w:val="00BB761C"/>
    <w:rsid w:val="00CF2A20"/>
    <w:rsid w:val="00D57EB0"/>
    <w:rsid w:val="00D950FC"/>
    <w:rsid w:val="00E66E6A"/>
    <w:rsid w:val="00E82F1D"/>
    <w:rsid w:val="00EB08F6"/>
    <w:rsid w:val="00F22BA7"/>
    <w:rsid w:val="00F310E9"/>
    <w:rsid w:val="00FA6A12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6E00C-49C8-4B84-B597-0F1BBD00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2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8B7"/>
  </w:style>
  <w:style w:type="paragraph" w:styleId="a6">
    <w:name w:val="footer"/>
    <w:basedOn w:val="a"/>
    <w:link w:val="a7"/>
    <w:uiPriority w:val="99"/>
    <w:unhideWhenUsed/>
    <w:rsid w:val="0042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8B7"/>
  </w:style>
  <w:style w:type="table" w:styleId="a8">
    <w:name w:val="Table Grid"/>
    <w:basedOn w:val="a1"/>
    <w:uiPriority w:val="59"/>
    <w:rsid w:val="004A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28</Pages>
  <Words>5513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Гилевич Ирина Вячеславовна</dc:creator>
  <cp:keywords/>
  <dc:description/>
  <cp:lastModifiedBy>Портяной Александр Анатольевич</cp:lastModifiedBy>
  <cp:revision>20</cp:revision>
  <dcterms:created xsi:type="dcterms:W3CDTF">2019-01-18T08:12:00Z</dcterms:created>
  <dcterms:modified xsi:type="dcterms:W3CDTF">2019-02-11T05:15:00Z</dcterms:modified>
</cp:coreProperties>
</file>