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.05pt;height:15.0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.2pt;height:12.5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.2pt;height:12.5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.2pt;height:12.5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B57979" w:rsidRDefault="0000431E" w:rsidP="00043330">
            <w:pPr>
              <w:rPr>
                <w:rStyle w:val="af2"/>
                <w:b w:val="0"/>
                <w:bCs/>
                <w:i w:val="0"/>
                <w:sz w:val="22"/>
                <w:szCs w:val="22"/>
                <w:shd w:val="clear" w:color="auto" w:fill="auto"/>
              </w:rPr>
            </w:pPr>
            <w:r w:rsidRPr="00B57979">
              <w:rPr>
                <w:b/>
                <w:bCs/>
                <w:sz w:val="22"/>
                <w:szCs w:val="22"/>
              </w:rPr>
              <w:t xml:space="preserve">Оказание услуг по выполнению </w:t>
            </w:r>
            <w:r w:rsidR="00043330">
              <w:rPr>
                <w:b/>
                <w:sz w:val="22"/>
                <w:szCs w:val="22"/>
              </w:rPr>
              <w:t>ремонта медицинской техники</w:t>
            </w:r>
            <w:r w:rsidR="00043330">
              <w:rPr>
                <w:b/>
                <w:bCs/>
                <w:sz w:val="22"/>
                <w:szCs w:val="22"/>
              </w:rPr>
              <w:t>, оборудование Клинической лаборатории согласно Перечню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4pt;height:18.4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F37BDD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974FB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4pt;height:18.4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55pt;height:18.4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496D34" w:rsidRPr="008A6F5C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55pt;height:18.4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974DA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</w:t>
                  </w:r>
                  <w:r>
                    <w:rPr>
                      <w:sz w:val="20"/>
                      <w:szCs w:val="20"/>
                    </w:rPr>
                    <w:t>запросе котировок цен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 закрытом конверте в срок не более 7 дней после даты окончания подачи Заявок.</w:t>
                  </w: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4pt;height:18.4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F37BDD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4pt;height:18.4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4pt;height:18.4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F37BDD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4pt;height:18.4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F37BDD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4pt;height:18.4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04333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9pt;height:15.9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55pt;height:18.4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55pt;height:18.4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55pt;height:18.4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4pt;height:18.4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bookmarkStart w:id="4" w:name="_GoBack"/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 часов 0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bookmarkEnd w:id="4"/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9pt;height:15.9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55pt;height:18.4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55pt;height:18.4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4pt;height:18.4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4pt;height:18.4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37BD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9pt;height:15.9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55pt;height:18.4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55pt;height:18.4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4pt;height:18.4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A13BF0" w:rsidRPr="00B16EF5">
              <w:rPr>
                <w:sz w:val="22"/>
                <w:szCs w:val="22"/>
              </w:rPr>
              <w:t xml:space="preserve"> 3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 xml:space="preserve">запроса котировок цен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884BA3" w:rsidRPr="00B16EF5">
              <w:rPr>
                <w:sz w:val="22"/>
                <w:szCs w:val="22"/>
              </w:rPr>
              <w:t>в срок не позднее 3 рабочих дней с даты подведения итогов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и/или документации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4pt;height:18.4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74FBE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37BD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9pt;height:15.9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55pt;height:18.4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55pt;height:18.4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F37BDD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15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января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12 часов 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25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4pt;height:18.4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55pt;height:18.4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>
                    <w:rPr>
                      <w:rStyle w:val="ab"/>
                      <w:color w:val="auto"/>
                    </w:rPr>
                    <w:t>о постановке на учет в налоговом органе</w:t>
                  </w:r>
                  <w:r w:rsidRPr="009E1EF6">
                    <w:rPr>
                      <w:rStyle w:val="ab"/>
                      <w:color w:val="auto"/>
                    </w:rPr>
                    <w:t>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55pt;height:18.4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5" type="#_x0000_t75" style="width:12.55pt;height:18.4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 xml:space="preserve">запроса котировок цен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55pt;height:18.4pt" o:ole="">
                        <v:imagedata r:id="rId18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55pt;height:18.4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55pt;height:18.4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55pt;height:18.4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43330"/>
    <w:rsid w:val="0007431B"/>
    <w:rsid w:val="001C0A68"/>
    <w:rsid w:val="0038093B"/>
    <w:rsid w:val="0039361D"/>
    <w:rsid w:val="003F7EEE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515CC"/>
    <w:rsid w:val="007C7A08"/>
    <w:rsid w:val="007F1C89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67173"/>
    <w:rsid w:val="00B02B37"/>
    <w:rsid w:val="00B16EF5"/>
    <w:rsid w:val="00B401BA"/>
    <w:rsid w:val="00B41034"/>
    <w:rsid w:val="00B57979"/>
    <w:rsid w:val="00CF16B9"/>
    <w:rsid w:val="00D70C53"/>
    <w:rsid w:val="00D95BEF"/>
    <w:rsid w:val="00E20E80"/>
    <w:rsid w:val="00E31509"/>
    <w:rsid w:val="00E707C2"/>
    <w:rsid w:val="00ED4F12"/>
    <w:rsid w:val="00F172D7"/>
    <w:rsid w:val="00F37BD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C95A440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4</cp:revision>
  <cp:lastPrinted>2018-08-23T00:54:00Z</cp:lastPrinted>
  <dcterms:created xsi:type="dcterms:W3CDTF">2019-01-11T04:22:00Z</dcterms:created>
  <dcterms:modified xsi:type="dcterms:W3CDTF">2019-01-14T00:17:00Z</dcterms:modified>
</cp:coreProperties>
</file>